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rPr>
          <w:rFonts w:hint="eastAsia" w:ascii="方正小标宋简体" w:hAnsi="方正小标宋简体" w:eastAsia="方正小标宋简体" w:cs="方正小标宋简体"/>
          <w:i w:val="0"/>
          <w:iCs w:val="0"/>
          <w:caps w:val="0"/>
          <w:color w:val="auto"/>
          <w:spacing w:val="0"/>
          <w:sz w:val="36"/>
          <w:szCs w:val="36"/>
          <w:bdr w:val="none" w:color="auto" w:sz="0" w:space="0"/>
          <w:shd w:val="clear" w:fill="FFFFFF"/>
        </w:rPr>
      </w:pPr>
      <w:r>
        <w:rPr>
          <w:rFonts w:hint="eastAsia" w:ascii="方正小标宋简体" w:hAnsi="方正小标宋简体" w:eastAsia="方正小标宋简体" w:cs="方正小标宋简体"/>
          <w:b/>
          <w:bCs/>
          <w:i w:val="0"/>
          <w:iCs w:val="0"/>
          <w:caps w:val="0"/>
          <w:color w:val="auto"/>
          <w:spacing w:val="0"/>
          <w:sz w:val="36"/>
          <w:szCs w:val="36"/>
          <w:shd w:val="clear" w:fill="FFFFFF"/>
        </w:rPr>
        <w:t>教育部关于建立健全高校师德建设长效机制的意见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各省、自治区、直辖市教育厅（教委），有关部门（单位）教育司（局），新疆生产建设兵团教育局，部属各高等学校：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一、深刻认识新时期建立健全高校师德建设长效机制的重要性和紧迫性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高校教师的思想</w:t>
      </w:r>
      <w:bookmarkStart w:id="0" w:name="_GoBack"/>
      <w:bookmarkEnd w:id="0"/>
      <w:r>
        <w:rPr>
          <w:rFonts w:hint="eastAsia" w:ascii="仿宋_GB2312" w:hAnsi="仿宋_GB2312" w:eastAsia="仿宋_GB2312" w:cs="仿宋_GB2312"/>
          <w:sz w:val="32"/>
          <w:szCs w:val="32"/>
        </w:rPr>
        <w:t>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二、建立健全高校师德建设长效机制的原则和要求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三、建立健全高校师德建设长效机制的主要举措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四、充分激发高校教师加强师德建设的自觉性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五、切实明确高校师德建设工作的责任主体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各地各校要根据实际制订具体的实施办法。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教育部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2014年9月29日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05031ACC"/>
    <w:rsid w:val="05031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2024-04-09T01:05:00Z</dcterms:created>
  <dc:creator>媞媞</dc:creator>
  <cp:lastModifiedBy>媞媞</cp:lastModifiedBy>
  <dcterms:modified xsi:type="dcterms:W3CDTF">2024-04-09T01:08:55Z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9ADA9F22AF284D15A1CA95D6AE4005B7_11</vt:lpwstr>
  </property>
</Properties>
</file>